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21" w:rsidRPr="005635C5" w:rsidRDefault="00313D21" w:rsidP="005635C5">
      <w:pPr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948A54" w:themeColor="background2" w:themeShade="80"/>
          <w:sz w:val="36"/>
          <w:szCs w:val="36"/>
          <w:shd w:val="clear" w:color="auto" w:fill="FFFFE6"/>
        </w:rPr>
      </w:pPr>
      <w:bookmarkStart w:id="0" w:name="_GoBack"/>
      <w:bookmarkEnd w:id="0"/>
      <w:r w:rsidRPr="005635C5">
        <w:rPr>
          <w:rFonts w:ascii="Times New Roman" w:hAnsi="Times New Roman" w:cs="Times New Roman"/>
          <w:b/>
          <w:color w:val="948A54" w:themeColor="background2" w:themeShade="80"/>
          <w:sz w:val="36"/>
          <w:szCs w:val="36"/>
          <w:shd w:val="clear" w:color="auto" w:fill="FFFFE6"/>
        </w:rPr>
        <w:t>«Свобода мнений. Профилактика экстремизма»</w:t>
      </w:r>
    </w:p>
    <w:p w:rsidR="005112C8" w:rsidRPr="005635C5" w:rsidRDefault="005E6388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  <w:shd w:val="clear" w:color="auto" w:fill="FFFFE6"/>
        </w:rPr>
      </w:pPr>
      <w:r w:rsidRPr="005635C5">
        <w:rPr>
          <w:rFonts w:ascii="Times New Roman" w:hAnsi="Times New Roman" w:cs="Times New Roman"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280DD28" wp14:editId="44B10F50">
            <wp:simplePos x="0" y="0"/>
            <wp:positionH relativeFrom="column">
              <wp:posOffset>19050</wp:posOffset>
            </wp:positionH>
            <wp:positionV relativeFrom="paragraph">
              <wp:posOffset>1501140</wp:posOffset>
            </wp:positionV>
            <wp:extent cx="2314575" cy="1600200"/>
            <wp:effectExtent l="19050" t="0" r="9525" b="0"/>
            <wp:wrapThrough wrapText="bothSides">
              <wp:wrapPolygon edited="0">
                <wp:start x="-178" y="0"/>
                <wp:lineTo x="-178" y="21343"/>
                <wp:lineTo x="21689" y="21343"/>
                <wp:lineTo x="21689" y="0"/>
                <wp:lineTo x="-178" y="0"/>
              </wp:wrapPolygon>
            </wp:wrapThrough>
            <wp:docPr id="1" name="Рисунок 1" descr="C:\Users\hp\Desktop\лекции\deti_5_w300_h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лекции\deti_5_w300_h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  <w:shd w:val="clear" w:color="auto" w:fill="FFFFE6"/>
        </w:rPr>
        <w:t>Свобода выражения является важнейшей составляющей демократических прав и свобод. На самом первом заседании Генеральной Ассамблеи ООН в 1946 году, прежде чем были подписаны основные международные соглашения и договоренности по правам человека, была принята резолюция № 59 (1), в которой отмечалось: «Свобода информации является основополагающим правом человека и … критерием всех свобод, которые находятся под юрисдикцией Организации Объединенных Наций».</w:t>
      </w:r>
      <w:r w:rsidRPr="005635C5">
        <w:rPr>
          <w:rFonts w:ascii="Times New Roman" w:eastAsia="Times New Roman" w:hAnsi="Times New Roman" w:cs="Times New Roman"/>
          <w:snapToGrid w:val="0"/>
          <w:color w:val="548DD4" w:themeColor="text2" w:themeTint="99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  <w:t xml:space="preserve"> </w:t>
      </w:r>
    </w:p>
    <w:p w:rsidR="004F3B00" w:rsidRPr="005635C5" w:rsidRDefault="005112C8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  <w:shd w:val="clear" w:color="auto" w:fill="FFFFE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  <w:shd w:val="clear" w:color="auto" w:fill="FFFFE6"/>
        </w:rPr>
        <w:t xml:space="preserve">Право на свободу выражения подразумевает под собой свободу каждого выражать свои взгляды и мнения в открытой форме. Очевидно, что это право, должно соблюдаться повсеместно, учитывая его решающую роль в построении демократии и гарантии общественного участия в политической жизни страны. Следует отметить, однако, что существуют определенные крайние формы выражения мнения, которые необходимо пресекать во имя защиты других прав человека. Ограничения, налагаемые на свободу выражения в таких ситуациях, являются необходимой и оправданной мерой. Примером такой крайней формы </w:t>
      </w: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  <w:shd w:val="clear" w:color="auto" w:fill="FFFFE6"/>
        </w:rPr>
        <w:lastRenderedPageBreak/>
        <w:t>выражения мнения могут служить «речи ненависти», использование которых запрещено в ряде стран.</w:t>
      </w:r>
    </w:p>
    <w:p w:rsidR="005112C8" w:rsidRPr="005635C5" w:rsidRDefault="005E6388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  <w:shd w:val="clear" w:color="auto" w:fill="FFFFE6"/>
        </w:rPr>
      </w:pPr>
      <w:r w:rsidRPr="005635C5">
        <w:rPr>
          <w:rFonts w:ascii="Times New Roman" w:hAnsi="Times New Roman" w:cs="Times New Roman"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7A54A5A" wp14:editId="7B2233D0">
            <wp:simplePos x="0" y="0"/>
            <wp:positionH relativeFrom="column">
              <wp:posOffset>3895725</wp:posOffset>
            </wp:positionH>
            <wp:positionV relativeFrom="paragraph">
              <wp:posOffset>1080770</wp:posOffset>
            </wp:positionV>
            <wp:extent cx="2200275" cy="1638300"/>
            <wp:effectExtent l="19050" t="0" r="9525" b="0"/>
            <wp:wrapThrough wrapText="bothSides">
              <wp:wrapPolygon edited="0">
                <wp:start x="-187" y="0"/>
                <wp:lineTo x="-187" y="21349"/>
                <wp:lineTo x="21694" y="21349"/>
                <wp:lineTo x="21694" y="0"/>
                <wp:lineTo x="-187" y="0"/>
              </wp:wrapPolygon>
            </wp:wrapThrough>
            <wp:docPr id="2" name="Рисунок 2" descr="http://img.lady.ru/data/aphoto/c/8/3/37200/main/b3933eb2c2927e3f93f44f40da0ea0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lady.ru/data/aphoto/c/8/3/37200/main/b3933eb2c2927e3f93f44f40da0ea0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27" t="5930" r="2545" b="4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  <w:shd w:val="clear" w:color="auto" w:fill="FFFFE6"/>
        </w:rPr>
        <w:t>Разные группы людей могут придерживаться различных точек зрения по одному вопросу, что провоцирует чувства ненависти и нетерпения между представителями этих групп. С этой проблемой и связан вопрос о том, следует ли налагать официальный запрет на использование «речей ненависти». В некоторых странах были приняты законы о «речах ненависти» с целью лишения этого способа выражения законной силы. Существует очень тонкая грань между соблюдением права на свободу выражения и, в тоже время, гарантией основополагающих прав и свобод человека. Успех запретительных законов зачастую является сомнительным. Одним из их последствий может стать, например, приобретение «речами ненависти» статуса альтернативного способа выражения. Безусловно, крайние формы «речей ненависти» должны быть запрещены и не должны использоваться на государственном уровне. В то же время необходимо содействовать плюрализму в СМИ и предоставлять возможность артикуляции противоположной точки зрения.</w:t>
      </w:r>
      <w:r w:rsidRPr="005635C5">
        <w:rPr>
          <w:color w:val="548DD4" w:themeColor="text2" w:themeTint="99"/>
          <w:sz w:val="36"/>
          <w:szCs w:val="36"/>
        </w:rPr>
        <w:t xml:space="preserve"> </w:t>
      </w:r>
    </w:p>
    <w:p w:rsidR="005112C8" w:rsidRPr="005635C5" w:rsidRDefault="005112C8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lastRenderedPageBreak/>
        <w:t xml:space="preserve">В разных странах и в разные времена было дано много разных юридических и научных определений понятию "экстремизм". Единого определения на сегодняшний день не существует. Большой толковый словарь дает следующее определение экстремизму: экстремизм – это приверженность крайним взглядам и мерам. Однако оно не отражает сути этого явления. Обычно, одни экстремистские действия некоторыми людьми рассматриваются как справедливые и добродетельные (например, </w:t>
      </w:r>
      <w:proofErr w:type="spellStart"/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просоциальная</w:t>
      </w:r>
      <w:proofErr w:type="spellEnd"/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"борьба за </w:t>
      </w:r>
      <w:r w:rsidR="005E6388" w:rsidRPr="005635C5">
        <w:rPr>
          <w:rFonts w:ascii="Times New Roman" w:hAnsi="Times New Roman" w:cs="Times New Roman"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A2A9996" wp14:editId="7F530666">
            <wp:simplePos x="0" y="0"/>
            <wp:positionH relativeFrom="column">
              <wp:posOffset>-66675</wp:posOffset>
            </wp:positionH>
            <wp:positionV relativeFrom="paragraph">
              <wp:posOffset>1045845</wp:posOffset>
            </wp:positionV>
            <wp:extent cx="1400175" cy="1676400"/>
            <wp:effectExtent l="19050" t="0" r="9525" b="0"/>
            <wp:wrapThrough wrapText="bothSides">
              <wp:wrapPolygon edited="0">
                <wp:start x="1176" y="0"/>
                <wp:lineTo x="-294" y="1718"/>
                <wp:lineTo x="-294" y="19636"/>
                <wp:lineTo x="588" y="21355"/>
                <wp:lineTo x="1176" y="21355"/>
                <wp:lineTo x="20278" y="21355"/>
                <wp:lineTo x="20865" y="21355"/>
                <wp:lineTo x="21747" y="20373"/>
                <wp:lineTo x="21747" y="1718"/>
                <wp:lineTo x="21159" y="245"/>
                <wp:lineTo x="20278" y="0"/>
                <wp:lineTo x="1176" y="0"/>
              </wp:wrapPolygon>
            </wp:wrapThrough>
            <wp:docPr id="5" name="Рисунок 5" descr="http://www.ural-mvd.ru/uploaded/pics/ek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ral-mvd.ru/uploaded/pics/ek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свободу"), а другие экстремистские действия – как несправедливые и аморальные (антисоциальный "терроризм"). Это зависит от ценностей, политических убеждений, нравственных ограничений оценивающего, а </w:t>
      </w:r>
      <w:proofErr w:type="gramStart"/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так же</w:t>
      </w:r>
      <w:proofErr w:type="gramEnd"/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от его отношений с деятелем.</w:t>
      </w:r>
    </w:p>
    <w:p w:rsidR="005112C8" w:rsidRPr="005635C5" w:rsidRDefault="005112C8" w:rsidP="005635C5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В российском законодательстве, а конкретно в Федеральном Законе от 25 июля 2002 г. N 114-ФЗ "О противодействии экстремистской деятельности", понятие "экстремистская деятельность (экстремизм)" раскрывается как: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насильственное изменение основ конституционного строя и нарушение целостности Российской Федерации;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lastRenderedPageBreak/>
        <w:t>публичное оправдание терроризма и иная террористическая деятельность;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возбуждение социальной, расовой, национальной или религиозной розни;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5112C8" w:rsidRPr="005635C5" w:rsidRDefault="005E638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F298160" wp14:editId="6654FF56">
            <wp:simplePos x="0" y="0"/>
            <wp:positionH relativeFrom="column">
              <wp:posOffset>3714750</wp:posOffset>
            </wp:positionH>
            <wp:positionV relativeFrom="paragraph">
              <wp:posOffset>553085</wp:posOffset>
            </wp:positionV>
            <wp:extent cx="2385695" cy="2019300"/>
            <wp:effectExtent l="19050" t="0" r="0" b="0"/>
            <wp:wrapThrough wrapText="bothSides">
              <wp:wrapPolygon edited="0">
                <wp:start x="-172" y="0"/>
                <wp:lineTo x="-172" y="21396"/>
                <wp:lineTo x="21560" y="21396"/>
                <wp:lineTo x="21560" y="0"/>
                <wp:lineTo x="-172" y="0"/>
              </wp:wrapPolygon>
            </wp:wrapThrough>
            <wp:docPr id="8" name="Рисунок 8" descr="C:\Users\hp\Desktop\лекции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лекции\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  <w:r w:rsidR="005E6388" w:rsidRPr="005635C5">
        <w:rPr>
          <w:rFonts w:ascii="Times New Roman" w:eastAsia="Times New Roman" w:hAnsi="Times New Roman" w:cs="Times New Roman"/>
          <w:snapToGrid w:val="0"/>
          <w:color w:val="548DD4" w:themeColor="text2" w:themeTint="99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  <w:t xml:space="preserve"> 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lastRenderedPageBreak/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5112C8" w:rsidRPr="005635C5" w:rsidRDefault="005112C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организация и подготовка указанных деяний, а также подстрекательство к их осуществлению;</w:t>
      </w:r>
    </w:p>
    <w:p w:rsidR="005112C8" w:rsidRPr="005635C5" w:rsidRDefault="005E6388" w:rsidP="005635C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5D480AC" wp14:editId="24593F0C">
            <wp:simplePos x="0" y="0"/>
            <wp:positionH relativeFrom="column">
              <wp:posOffset>-19050</wp:posOffset>
            </wp:positionH>
            <wp:positionV relativeFrom="paragraph">
              <wp:posOffset>1021080</wp:posOffset>
            </wp:positionV>
            <wp:extent cx="2171700" cy="2085975"/>
            <wp:effectExtent l="19050" t="0" r="0" b="0"/>
            <wp:wrapThrough wrapText="bothSides">
              <wp:wrapPolygon edited="0">
                <wp:start x="-189" y="0"/>
                <wp:lineTo x="-189" y="21501"/>
                <wp:lineTo x="21600" y="21501"/>
                <wp:lineTo x="21600" y="0"/>
                <wp:lineTo x="-189" y="0"/>
              </wp:wrapPolygon>
            </wp:wrapThrough>
            <wp:docPr id="9" name="Рисунок 9" descr="http://news.vin.com.ua/sites/default/files/styles/large/public/field/image/1022788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ws.vin.com.ua/sites/default/files/styles/large/public/field/image/10227883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250" t="2392" r="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5112C8" w:rsidRPr="005635C5" w:rsidRDefault="005112C8" w:rsidP="005635C5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lastRenderedPageBreak/>
        <w:t>В настоящее время существует пять основных психопрофилактических подходов к предупреждению проявлений экстремизма:</w:t>
      </w:r>
    </w:p>
    <w:p w:rsidR="005112C8" w:rsidRPr="005635C5" w:rsidRDefault="00313D21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 xml:space="preserve">1. </w:t>
      </w:r>
      <w:r w:rsidR="005112C8"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>Подход, основанный на распространении информации об экстремизме и</w:t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организациях экстремистского толка.</w:t>
      </w:r>
    </w:p>
    <w:p w:rsidR="005112C8" w:rsidRPr="005635C5" w:rsidRDefault="005112C8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Данный подход является наиболее распространенным типом превентивных стратегий. Он базируется на предоставлении информации об экстремистских организациях и об опасности их религиозных, националистических, политических идей, приведении фактов о жизненных трудностях, ситуациях и мотивах членов данных организаций.</w:t>
      </w:r>
    </w:p>
    <w:p w:rsidR="005112C8" w:rsidRPr="005635C5" w:rsidRDefault="00313D21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 xml:space="preserve">2. </w:t>
      </w:r>
      <w:r w:rsidR="005112C8"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>Подход, основанный на аффективном обучении.</w:t>
      </w:r>
    </w:p>
    <w:p w:rsidR="005112C8" w:rsidRPr="005635C5" w:rsidRDefault="005E6388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ED46CCE" wp14:editId="065ECC38">
            <wp:simplePos x="0" y="0"/>
            <wp:positionH relativeFrom="column">
              <wp:posOffset>3695700</wp:posOffset>
            </wp:positionH>
            <wp:positionV relativeFrom="paragraph">
              <wp:posOffset>1244600</wp:posOffset>
            </wp:positionV>
            <wp:extent cx="2362200" cy="1876425"/>
            <wp:effectExtent l="19050" t="0" r="0" b="0"/>
            <wp:wrapThrough wrapText="bothSides">
              <wp:wrapPolygon edited="0">
                <wp:start x="-174" y="0"/>
                <wp:lineTo x="-174" y="21490"/>
                <wp:lineTo x="21600" y="21490"/>
                <wp:lineTo x="21600" y="0"/>
                <wp:lineTo x="-174" y="0"/>
              </wp:wrapPolygon>
            </wp:wrapThrough>
            <wp:docPr id="12" name="Рисунок 12" descr="http://thumbs.dreamstime.com/z/caracteres-de-la-charla-3d-979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humbs.dreamstime.com/z/caracteres-de-la-charla-3d-97932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846" t="9846" r="14359" b="23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В основе этого подхода лежит теоретическое положение о том, что проявлять нетерпимость к "другим" начинают, прежде всего, люди с недостаточно развитой эмоциональной сферой, воспитанные в семьях, где существовал запрет на выражение эмоций. Аффективное (интенсивное эмоциональное) обучение базируется на понимании того, что нетерпимость чаще развивается у личностей с трудностями в определении и выражении эмоций, имеющих так называемые </w:t>
      </w:r>
      <w:proofErr w:type="spellStart"/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ин</w:t>
      </w:r>
      <w:r w:rsidR="002750A0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терперсональные</w:t>
      </w:r>
      <w:proofErr w:type="spellEnd"/>
      <w:r w:rsidR="002750A0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факторы риска – </w:t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низкую </w:t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lastRenderedPageBreak/>
        <w:t>самооценку, неразвитую способность к сопереживанию (</w:t>
      </w:r>
      <w:proofErr w:type="spellStart"/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эмпатию</w:t>
      </w:r>
      <w:proofErr w:type="spellEnd"/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). В связи с этим у них не формируется умение накапливать собственный и чужой опыт переживаний, не развиваются навыки принятия решений в сложных стрессовых ситуациях.</w:t>
      </w:r>
      <w:r w:rsidRPr="005635C5">
        <w:rPr>
          <w:color w:val="548DD4" w:themeColor="text2" w:themeTint="99"/>
          <w:sz w:val="36"/>
          <w:szCs w:val="36"/>
        </w:rPr>
        <w:t xml:space="preserve"> </w:t>
      </w:r>
    </w:p>
    <w:p w:rsidR="005112C8" w:rsidRPr="005635C5" w:rsidRDefault="00313D21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 xml:space="preserve">3. </w:t>
      </w:r>
      <w:r w:rsidR="005112C8"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>Подход, основанный на влиянии социальных факторов.</w:t>
      </w:r>
    </w:p>
    <w:p w:rsidR="005112C8" w:rsidRPr="005635C5" w:rsidRDefault="002750A0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7DCD285A" wp14:editId="429204BF">
            <wp:simplePos x="0" y="0"/>
            <wp:positionH relativeFrom="column">
              <wp:posOffset>-28575</wp:posOffset>
            </wp:positionH>
            <wp:positionV relativeFrom="paragraph">
              <wp:posOffset>1769745</wp:posOffset>
            </wp:positionV>
            <wp:extent cx="1704975" cy="1885950"/>
            <wp:effectExtent l="19050" t="0" r="9525" b="0"/>
            <wp:wrapThrough wrapText="bothSides">
              <wp:wrapPolygon edited="0">
                <wp:start x="-241" y="0"/>
                <wp:lineTo x="-241" y="21382"/>
                <wp:lineTo x="21721" y="21382"/>
                <wp:lineTo x="21721" y="0"/>
                <wp:lineTo x="-241" y="0"/>
              </wp:wrapPolygon>
            </wp:wrapThrough>
            <wp:docPr id="15" name="Рисунок 15" descr="http://startdeutsch.ru/images/pictures/raised-hands-290x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artdeutsch.ru/images/pictures/raised-hands-290x2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241" t="5862" r="6552" b="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Данный подход базируется на понимании того, что влияние сверстников и семьи играет важную роль, способствуя или препятствуя зарождению экстремистских идей. С точки зрения данного подхода важнейшим фактором развития человека является социальная среда как источник обратной связи, поощрений и наказаний. В связи с этим подчеркивается важность социально ориентированной интервенции, представляющей собой специальные программы для родителей, или программы, направленные на предотвращение возможного социального давления экстремистской среды.</w:t>
      </w:r>
    </w:p>
    <w:p w:rsidR="005112C8" w:rsidRPr="005635C5" w:rsidRDefault="00313D21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 xml:space="preserve">4. </w:t>
      </w:r>
      <w:r w:rsidR="005112C8"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>Подход, основанный на формировании жизненных навыков</w:t>
      </w:r>
      <w:r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>.</w:t>
      </w:r>
    </w:p>
    <w:p w:rsidR="005112C8" w:rsidRPr="005635C5" w:rsidRDefault="005112C8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В данном подходе центральным является понятие об изменении поведения, поэтому в нем используются </w:t>
      </w:r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lastRenderedPageBreak/>
        <w:t>преимущественно методы поведенческой модификации. Основу этого направления составляет теория социального научения Бандуры (</w:t>
      </w:r>
      <w:proofErr w:type="spellStart"/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Bandura</w:t>
      </w:r>
      <w:proofErr w:type="spellEnd"/>
      <w:r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A., 1969).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целей.</w:t>
      </w:r>
    </w:p>
    <w:p w:rsidR="005112C8" w:rsidRPr="005635C5" w:rsidRDefault="00313D21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 xml:space="preserve">5. </w:t>
      </w:r>
      <w:r w:rsidR="005112C8"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>Подход, основанный на развитии деятельности, альтернативной экстремистской</w:t>
      </w:r>
      <w:r w:rsidRPr="005635C5"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>.</w:t>
      </w:r>
    </w:p>
    <w:p w:rsidR="005112C8" w:rsidRPr="005635C5" w:rsidRDefault="002750A0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635C5">
        <w:rPr>
          <w:rFonts w:ascii="Times New Roman" w:hAnsi="Times New Roman" w:cs="Times New Roman"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6CCFD8F" wp14:editId="31283F8D">
            <wp:simplePos x="0" y="0"/>
            <wp:positionH relativeFrom="margin">
              <wp:posOffset>1238250</wp:posOffset>
            </wp:positionH>
            <wp:positionV relativeFrom="paragraph">
              <wp:posOffset>1572260</wp:posOffset>
            </wp:positionV>
            <wp:extent cx="3328035" cy="1533525"/>
            <wp:effectExtent l="19050" t="0" r="5715" b="0"/>
            <wp:wrapThrough wrapText="bothSides">
              <wp:wrapPolygon edited="0">
                <wp:start x="-124" y="0"/>
                <wp:lineTo x="-124" y="21466"/>
                <wp:lineTo x="21637" y="21466"/>
                <wp:lineTo x="21637" y="0"/>
                <wp:lineTo x="-124" y="0"/>
              </wp:wrapPolygon>
            </wp:wrapThrough>
            <wp:docPr id="18" name="Рисунок 18" descr="http://neuezeiten.rusverlag.de/wp-content/uploads/2013/10/%C2%A9-tribalium81-Fotolia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euezeiten.rusverlag.de/wp-content/uploads/2013/10/%C2%A9-tribalium81-Fotolia.com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2C8" w:rsidRPr="005635C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Этот подход предполагает необходимость развития альтернативных социальных программ для молодежи, в которых могли бы быть в социально нормативных рамках реализованы стремление к риску, поиск острых ощущений, повышенная поведенческая активность, столь свойственные молодым. Данное направление является попыткой развития специфической активности с целью уменьшить риск проявления экстремистской агрессии.</w:t>
      </w:r>
    </w:p>
    <w:p w:rsidR="002750A0" w:rsidRPr="005635C5" w:rsidRDefault="002750A0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</w:p>
    <w:p w:rsidR="002750A0" w:rsidRPr="005635C5" w:rsidRDefault="002750A0" w:rsidP="005635C5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</w:p>
    <w:sectPr w:rsidR="002750A0" w:rsidRPr="005635C5" w:rsidSect="005635C5">
      <w:pgSz w:w="11906" w:h="16838"/>
      <w:pgMar w:top="993" w:right="849" w:bottom="993" w:left="156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C0AC4"/>
    <w:multiLevelType w:val="hybridMultilevel"/>
    <w:tmpl w:val="67D24F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C8"/>
    <w:rsid w:val="002750A0"/>
    <w:rsid w:val="002D1531"/>
    <w:rsid w:val="00313D21"/>
    <w:rsid w:val="004F3B00"/>
    <w:rsid w:val="005112C8"/>
    <w:rsid w:val="00542431"/>
    <w:rsid w:val="005635C5"/>
    <w:rsid w:val="005E6388"/>
    <w:rsid w:val="006D2D90"/>
    <w:rsid w:val="00A35F00"/>
    <w:rsid w:val="00B17F0B"/>
    <w:rsid w:val="00E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AF439-2200-454C-9BDF-17849925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D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Екатерина Павловская</cp:lastModifiedBy>
  <cp:revision>2</cp:revision>
  <dcterms:created xsi:type="dcterms:W3CDTF">2017-10-17T09:21:00Z</dcterms:created>
  <dcterms:modified xsi:type="dcterms:W3CDTF">2017-10-17T09:21:00Z</dcterms:modified>
</cp:coreProperties>
</file>